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“书香城市（区县级）”发现活动评价指标</w:t>
      </w:r>
    </w:p>
    <w:bookmarkEnd w:id="0"/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（2022年修订）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58"/>
        <w:gridCol w:w="840"/>
        <w:gridCol w:w="2360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9" w:hRule="atLeast"/>
          <w:tblHeader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指标值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评价原则及上传资料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必备条件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县级图书馆等级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部颁一级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提供最近一次评估定级一级馆的证明材料（如文件扫描件）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县域总分馆体系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政府主导、资源共享、服务标准统一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提供县级政府颁发的制度文件和相关数据，服务标准文档，资源共享的佐证材料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人均藏书（纸本）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只指县域总分馆书目库内的藏书。提供官方公布的上一年度常住人口数据及藏书统计报表（或管理系统统计截屏）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县域总分馆人均年新增藏书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≥0.04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提供报表或统计数据截屏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阅读推广活动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场次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≥60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县、各乡镇图书馆（分馆）分别计算，包括讲座、展览、故事会、读书会、阅读兴趣和素养培训等。提供年度报表和适量活动图片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公共阅读设施免费开放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免费开放的时间按指标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提供免费开放的文件、财政补贴拨款凭证扫描件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县域总分馆人均外借册次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册次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县域总分馆外借总册次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常住人口，提供以及计算机管理系统统计的年度外借册次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全民阅读活动领导小组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县级党委或政府建立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提供县级党委或政府颁发的相关文件（PDF文档或扫描件）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公共阅读栏屏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版或屏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包括阅报栏、多媒体屏、电子屏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按常住人口计算，提供版面或屏幕的统计数据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阅读设施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流动图书车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辆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提供流动车图片、停靠点名录、服务公示和服务数据报表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农家书屋设置率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提供承诺书及适量图片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职工书屋设置率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占区域内千人以上企业的%，提供承诺书及适量图片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学校图书馆设置率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包括区域内所有全日制学校，提供名录及适量图片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公共阅报栏千人版面设置率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版/千人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≥2个版面的窗口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按常住人口计算及适量图片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阅读场所指引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县、镇图书馆（含图书馆分馆），在城市道路指引系统、城市地图中标识清晰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提供图片和地图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公共数字文化服务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kern w:val="0"/>
                <w:sz w:val="28"/>
                <w:szCs w:val="28"/>
              </w:rPr>
              <w:t>开设专门的数字阅读空间，提供便利的阅读方式，便于读者检索和利用数字资源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提供数字阅读空间图片以及相关资料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公共数字文化服务阅读设备普及率与公共电子阅览室设置率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提供承诺书及数字阅读设备图片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阅读资源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乡镇图书馆报刊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种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提供征订单扫描件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县域总分馆可用数字资源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TB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指自建、下载到本地服务器的资源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学校生均拥有藏书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达到教育部对各级各类全日制学校生均藏书的规定指标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提供各年级学生数和藏书数的统计报表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阅读服务及活动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阅读节或阅读月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由当地党委或政府专门组建开展全民阅读活动的机构（如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全民阅读活动领导小组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），提供文件扫描件及活动图片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特色读书活动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个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≥2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指结合地域文化且具有影响力的读书活动。提供佐证图片资料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县图书馆免费开放时间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≥56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乡镇图书馆免费开放时间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≥48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农家书屋免费开放时间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职工书屋免费开放时间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≥18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公共数字文化服务与电子阅览室免费开放时间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小时/周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设置在公共阅读机构中的应与该机构免费服务开放时间相同，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提供公示的图片资料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编制导读推荐书目和阅读品鉴资料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每月2次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导读推荐书目包括新书推荐书目、专题导读书目、图书馆外借排行榜等。提供佐证材料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县级图书馆网站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具有文献检索、阅读、咨询等功能的统一平台，并能直接使用县级图书馆相应数量数字资源，直接登录检查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县级公共阅读场所开放免费WIFI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在县级公共阅读服务设施内提供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视障读者服务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有盲文阅览室、有视障读者专用设备、有适合其阅读的服务，提供证明图片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少儿阅读兴趣培养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有少儿阅览设施、有增加少儿阅读兴趣、培养阅读习惯的服务项目和活动。提供文字及图片证明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外来务工人员服务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有就业信息、工地借阅服务。提供佐证图片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老龄读者阅读服务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4"/>
                <w:kern w:val="0"/>
                <w:sz w:val="28"/>
                <w:szCs w:val="28"/>
              </w:rPr>
              <w:t>交流、品鉴、计算机使用技能培训。提供佐证图片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阅读环境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新闻媒体设全民阅读专题节目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期/年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包括报纸、电视、电台。提供报道目录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网络媒体设全民阅读频道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政府网站有阅读平台的链接，直接上网检查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新闻媒体投放全民阅读公益广告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100%的新闻媒体投放全民阅读公益广告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新闻媒体主要指当地的报纸、电视台、电台和网络媒体。提供证明材料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kern w:val="0"/>
                <w:sz w:val="28"/>
                <w:szCs w:val="28"/>
              </w:rPr>
              <w:t>主要公共场所广告屏投放全民阅读公益广告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100%的广告屏每天投放全民阅读公益广告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主要公共场所指城市和乡镇车站、集贸市场、商场、广场等人流密集地点。提供佐证图片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阅读活动居民参与率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阅读环境居民满意率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≥85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提供调查报告（可以上一指标合并报告）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县域总分馆有效读者持证率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%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≥5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县域总分馆有效持证读者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常住人口，提供读者证统计数据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县域总分馆人均到馆次数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次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全市公共图书馆服务体系到馆总人次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人均数字资源点击次数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次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≥1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县图书馆网站点击次数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常住人口，提供点击次数统计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社会阅读组织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家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≥40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每个组织每年活动不少于4次，提供活动图片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保障条件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28"/>
                <w:szCs w:val="28"/>
              </w:rPr>
              <w:t>全民阅读专门机构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县级文化主管部门设置、活动正常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提供文件和台账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全民阅读活动经费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纳入政府财政预算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提供拨款凭证扫描件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图书馆购书经费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满足新增文献要求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提供拨款凭证扫描件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公共图书馆专业人员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常住人口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1:10000——20000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提供县级图书馆总馆的编制批准文件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乡镇文化专职人员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人/乡镇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≥3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提供文件或其他证明材料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阅读推广志愿者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‰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</w:rPr>
              <w:t>≥3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阅读推广人是指以志愿者形式参与全民阅读工作的个人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绩效考核制度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有制度，执行良好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提供考核制度的文件扫描件及考核成果资料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引导和鼓励政策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有政策，执行良好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颁布鼓励、引导社会力量参与全民阅读的政策。提供政策的文件扫描件和执行证明资料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3DCC6D1F"/>
    <w:rsid w:val="3DC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2024-04-28T01:42:00Z</dcterms:created>
  <dc:creator>Yang</dc:creator>
  <cp:lastModifiedBy>Yang</cp:lastModifiedBy>
  <dcterms:modified xsi:type="dcterms:W3CDTF">2024-04-28T01:43:10Z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578606BE9DDE4B21A6944437B4EAA102_11</vt:lpwstr>
  </property>
</Properties>
</file>