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“书香社区”发现活动评价指标</w:t>
      </w:r>
      <w:bookmarkEnd w:id="0"/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491"/>
        <w:gridCol w:w="673"/>
        <w:gridCol w:w="947"/>
        <w:gridCol w:w="838"/>
        <w:gridCol w:w="839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256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ind w:left="-107" w:leftChars="-51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宋体" w:cs="Arial"/>
                <w:b/>
                <w:bCs/>
                <w:kern w:val="0"/>
                <w:szCs w:val="21"/>
              </w:rPr>
              <w:t>东部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宋体" w:cs="Arial"/>
                <w:b/>
                <w:bCs/>
                <w:kern w:val="0"/>
                <w:szCs w:val="21"/>
              </w:rPr>
              <w:t>地区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cs="Arial"/>
                <w:b/>
                <w:bCs/>
                <w:kern w:val="0"/>
                <w:szCs w:val="21"/>
              </w:rPr>
              <w:t>中部地区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cs="Arial"/>
                <w:b/>
                <w:bCs/>
                <w:kern w:val="0"/>
                <w:szCs w:val="21"/>
              </w:rPr>
              <w:t>西部地区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材料提供要求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必备条件</w:t>
            </w:r>
          </w:p>
          <w:p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社区图书馆（或分馆）建筑面积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平方米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房产调拨单、房屋产权证、房屋租赁协议、当地县（区）及以上政府出具的提供馆舍房屋使用证明，任选一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如为24小时自助图书馆的，面积大于100平方米，但要能够同时满足本体系中的馆藏、座席等指标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阅读座席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席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pacing w:val="-10"/>
                <w:kern w:val="0"/>
                <w:szCs w:val="21"/>
              </w:rPr>
            </w:pPr>
            <w:r>
              <w:rPr>
                <w:rFonts w:ascii="Arial" w:hAnsi="Arial" w:cs="Arial"/>
                <w:spacing w:val="-10"/>
                <w:kern w:val="0"/>
                <w:szCs w:val="21"/>
              </w:rPr>
              <w:t>10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pacing w:val="-12"/>
                <w:kern w:val="0"/>
                <w:szCs w:val="21"/>
              </w:rPr>
            </w:pPr>
            <w:r>
              <w:rPr>
                <w:rFonts w:ascii="Arial" w:hAnsi="Arial" w:cs="Arial"/>
                <w:spacing w:val="-12"/>
                <w:kern w:val="0"/>
                <w:szCs w:val="21"/>
              </w:rPr>
              <w:t>10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能证明的照片或视频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专职工作人员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指分馆或阅览室的工作人员。如为市（或区县）图书馆设置的自助图书馆，此指标可不考核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开放时间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小时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周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提供能够证明的照片，双休日必须开放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公共阅览计算机终端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台数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能证明图片或视频，可以另有专用空间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图书总量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册</w:t>
            </w:r>
            <w:r>
              <w:rPr>
                <w:spacing w:val="-6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spacing w:val="-6"/>
                <w:kern w:val="0"/>
                <w:szCs w:val="21"/>
              </w:rPr>
              <w:t>件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5000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书架图片或视频，是分馆的也可提供总分馆计算机系统的馆藏统计表。只指纸本图书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报纸期刊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种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提供该分馆或阅览室报刊征订单复印件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年更新图书（含周转书）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册</w:t>
            </w:r>
            <w:r>
              <w:rPr>
                <w:spacing w:val="-6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spacing w:val="-6"/>
                <w:kern w:val="0"/>
                <w:szCs w:val="21"/>
              </w:rPr>
              <w:t>件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900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单独阅览室提供采购清单，分馆则提供总馆调配清单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6" w:type="pct"/>
            <w:vMerge w:val="restart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考核指标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音像制品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种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音像制品架的照片或视频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数字资源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Arial" w:cs="Arial"/>
                <w:kern w:val="0"/>
                <w:szCs w:val="21"/>
              </w:rPr>
            </w:pPr>
            <w:r>
              <w:rPr>
                <w:rFonts w:hint="eastAsia" w:ascii="Arial" w:cs="Arial"/>
                <w:kern w:val="0"/>
                <w:szCs w:val="21"/>
              </w:rPr>
              <w:t>能通过联网计算机利用数字资源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阅览室或分馆电脑联网使用数据库时的照片或视频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免费</w:t>
            </w:r>
            <w:r>
              <w:rPr>
                <w:kern w:val="0"/>
                <w:szCs w:val="21"/>
              </w:rPr>
              <w:t>WIFI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cs="Arial"/>
                <w:kern w:val="0"/>
                <w:szCs w:val="21"/>
              </w:rPr>
              <w:t>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cs="Arial"/>
                <w:kern w:val="0"/>
                <w:szCs w:val="21"/>
              </w:rPr>
              <w:t>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cs="Arial"/>
                <w:kern w:val="0"/>
                <w:szCs w:val="21"/>
              </w:rPr>
              <w:t>有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提供移动终端利用当地</w:t>
            </w:r>
            <w:r>
              <w:rPr>
                <w:kern w:val="0"/>
                <w:szCs w:val="21"/>
              </w:rPr>
              <w:t>WIFI</w:t>
            </w:r>
            <w:r>
              <w:rPr>
                <w:rFonts w:hint="eastAsia"/>
                <w:kern w:val="0"/>
                <w:szCs w:val="21"/>
              </w:rPr>
              <w:t>上网截屏的照片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阅读设施指引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cs="Arial"/>
                <w:kern w:val="0"/>
                <w:szCs w:val="21"/>
              </w:rPr>
              <w:t>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cs="Arial"/>
                <w:kern w:val="0"/>
                <w:szCs w:val="21"/>
              </w:rPr>
              <w:t>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cs="Arial"/>
                <w:kern w:val="0"/>
                <w:szCs w:val="21"/>
              </w:rPr>
              <w:t>有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照片或视频，每块提供近远各一张，远距离照片需涵盖周边环境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公共阅报栏屏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cs="Arial"/>
                <w:spacing w:val="-4"/>
                <w:kern w:val="0"/>
                <w:szCs w:val="21"/>
              </w:rPr>
              <w:t>提供时政、文化、生活类报纸，每日更新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spacing w:val="-4"/>
                <w:kern w:val="0"/>
                <w:szCs w:val="21"/>
              </w:rPr>
              <w:t>照片或视频，阅报栏不少于</w:t>
            </w:r>
            <w:r>
              <w:rPr>
                <w:spacing w:val="-4"/>
                <w:kern w:val="0"/>
                <w:szCs w:val="21"/>
              </w:rPr>
              <w:t>8</w:t>
            </w:r>
            <w:r>
              <w:rPr>
                <w:rFonts w:hint="eastAsia"/>
                <w:spacing w:val="-4"/>
                <w:kern w:val="0"/>
                <w:szCs w:val="21"/>
              </w:rPr>
              <w:t>个版面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年外借册次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册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6000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3000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是分馆则提供总分馆统计表，独立社区阅览室则提供台账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年到馆人次率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%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同上，同时提供社区常住人口证明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特殊人群服务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hint="eastAsia" w:ascii="Arial" w:cs="Arial"/>
                <w:spacing w:val="-8"/>
                <w:kern w:val="0"/>
                <w:szCs w:val="21"/>
              </w:rPr>
              <w:t>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hint="eastAsia" w:ascii="Arial" w:cs="Arial"/>
                <w:spacing w:val="-8"/>
                <w:kern w:val="0"/>
                <w:szCs w:val="21"/>
              </w:rPr>
              <w:t>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cs="Arial"/>
                <w:kern w:val="0"/>
                <w:szCs w:val="21"/>
              </w:rPr>
              <w:t>有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为特殊人群（如残障读者）提供服务的照片或视频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针对少儿的阅读活动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活动台账及活动照片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针对老年人的活动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活动台账及活动照片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好书推荐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提供每期新书推荐的照片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spacing w:line="161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阅读组织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spacing w:line="161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238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161" w:lineRule="atLeast"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/>
                <w:spacing w:val="-8"/>
                <w:kern w:val="0"/>
                <w:szCs w:val="21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活动台账及活动照片，如有成果一并提供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购书经费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cs="Arial"/>
                <w:kern w:val="0"/>
                <w:szCs w:val="21"/>
              </w:rPr>
              <w:t>能保证年度新书、报刊更新指标的完成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拨款单、图书采购发票、报刊征订发票等复印件。市（县、区）分馆的可只提供图书调配清单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接受专业培训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天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当地市（县）图书馆培训证明或继续教育证书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阅读推广志愿者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‰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阅读推广志愿者人数与社区常住人口之比。提供阅读推广志愿者管理制度、阅读推广志愿者名录、志愿者活动小结、活动照片等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社区居民阅读调查及需求反馈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次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2034" w:type="pc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提供调查方案、原始资料复印件，包括座谈会记录、问卷复印件、读者需求、采购建议等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6" w:type="pct"/>
            <w:vMerge w:val="restart"/>
            <w:noWrap w:val="0"/>
            <w:vAlign w:val="center"/>
          </w:tcPr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加分指标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社区特色阅读活动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9" w:type="pct"/>
            <w:gridSpan w:val="4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特色活动，可以是周期性的活动，也可以是有创意的单次活动，需要提供活动方案策划，活动小结，过程和成果的照片或视频，如有媒体报道一并提供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社区品牌阅读活动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9" w:type="pct"/>
            <w:gridSpan w:val="4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品牌活动，必须是有影响的周期性阅读活动，需要提供活动方案策划，历次活动小结，过程和成果的照片或视频，如有媒体报道一并提供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11842A-69B1-4070-8237-9422DE6DB0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624F8B-84EF-4AC2-807A-D747A250712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ED26CA-D9A2-4423-A6B0-67F90C9450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090BFCF-5DD5-47F8-BAAB-7F1AF9FED1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42897FE0"/>
    <w:rsid w:val="4289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2023-03-24T06:05:00Z</dcterms:created>
  <dc:creator>双柳</dc:creator>
  <cp:lastModifiedBy>双柳</cp:lastModifiedBy>
  <dcterms:modified xsi:type="dcterms:W3CDTF">2023-03-24T06:06:11Z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9261D159B2144806A3243FC17ED5F906</vt:lpwstr>
  </property>
</Properties>
</file>