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“书香城市（区县级）”发现活动评价指标</w:t>
      </w:r>
    </w:p>
    <w:bookmarkEnd w:id="0"/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（2022年修订）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64"/>
        <w:gridCol w:w="1222"/>
        <w:gridCol w:w="3440"/>
        <w:gridCol w:w="6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tblHeader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指标类别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ind w:left="-107" w:leftChars="-51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指标值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评价原则及上传资料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必备条件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县级图书馆等级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部颁一级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提供最近一次评估定级一级馆的证明材料（如文件扫描件）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县域总分馆体系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6"/>
                <w:kern w:val="0"/>
                <w:sz w:val="28"/>
                <w:szCs w:val="28"/>
              </w:rPr>
              <w:t>政府主导、资源共享、服务标准统一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提供县级政府颁发的制度文件和相关数据，服务标准文档，资源共享的佐证材料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人均藏书（纸本）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6"/>
                <w:kern w:val="0"/>
                <w:sz w:val="28"/>
                <w:szCs w:val="28"/>
              </w:rPr>
              <w:t>册/件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只指县域总分馆书目库内的藏书。提供官方公布的上一年度常住人口数据及藏书统计报表（或管理系统统计截屏）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县域总分馆人均年新增藏书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6"/>
                <w:kern w:val="0"/>
                <w:sz w:val="28"/>
                <w:szCs w:val="28"/>
              </w:rPr>
              <w:t>册/件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≥0.04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提供报表或统计数据截屏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阅读推广活动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场次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≥60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县、各乡镇图书馆（分馆）分别计算，包括讲座、展览、故事会、读书会、阅读兴趣和素养培训等。提供年度报表和适量活动图片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公共阅读设施免费开放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免费开放的时间按指标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提供免费开放的文件、财政补贴拨款凭证扫描件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县域总分馆人均外借册次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册次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≥1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县域总分馆外借总册次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常住人口，提供以及计算机管理系统统计的年度外借册次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全民阅读活动领导小组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县级党委或政府建立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提供县级党委或政府颁发的相关文件（PDF文档或扫描件）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28"/>
                <w:szCs w:val="28"/>
              </w:rPr>
              <w:t>公共阅读栏屏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版或屏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包括阅报栏、多媒体屏、电子屏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按常住人口计算，提供版面或屏幕的统计数据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阅读设施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流动图书车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辆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≥1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提供流动车图片、停靠点名录、服务公示和服务数据报表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农家书屋设置率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%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100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提供承诺书及适量图片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职工书屋设置率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%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≥50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占区域内千人以上企业的%，提供承诺书及适量图片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学校图书馆设置率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%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100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包括区域内所有全日制学校，提供名录及适量图片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28"/>
                <w:szCs w:val="28"/>
              </w:rPr>
              <w:t>公共阅报栏千人版面设置率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版/千人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≥2个版面的窗口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按常住人口计算及适量图片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阅读场所指引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县、镇图书馆（含图书馆分馆），在城市道路指引系统、城市地图中标识清晰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提供图片和地图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28"/>
                <w:szCs w:val="28"/>
              </w:rPr>
              <w:t>公共数字文化服务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kern w:val="0"/>
                <w:sz w:val="28"/>
                <w:szCs w:val="28"/>
              </w:rPr>
              <w:t>开设专门的数字阅读空间，提供便利的阅读方式，便于读者检索和利用数字资源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提供数字阅读空间图片以及相关资料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公共数字文化服务阅读设备普及率与公共电子阅览室设置率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kern w:val="0"/>
                <w:sz w:val="28"/>
                <w:szCs w:val="28"/>
              </w:rPr>
              <w:t>%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kern w:val="0"/>
                <w:sz w:val="28"/>
                <w:szCs w:val="28"/>
              </w:rPr>
              <w:t>100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提供承诺书及数字阅读设备图片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阅读资源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乡镇图书馆报刊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种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≥50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提供征订单扫描件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县域总分馆可用数字资源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TB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≥4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指自建、下载到本地服务器的资源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学校生均拥有藏书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达到教育部对各级各类全日制学校生均藏书的规定指标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提供各年级学生数和藏书数的统计报表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阅读服务及活动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阅读节或阅读月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由当地党委或政府专门组建开展全民阅读活动的机构（如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全民阅读活动领导小组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），提供文件扫描件及活动图片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特色读书活动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个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≥2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指结合地域文化且具有影响力的读书活动。提供佐证图片资料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县图书馆免费开放时间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≥56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提供公示的图片资料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乡镇图书馆免费开放时间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≥48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提供公示的图片资料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农家书屋免费开放时间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≥40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提供公示的图片资料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职工书屋免费开放时间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≥18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提供公示的图片资料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公共数字文化服务与电子阅览室免费开放时间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≥40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设置在公共阅读机构中的应与该机构免费服务开放时间相同，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提供公示的图片资料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编制导读推荐书目和阅读品鉴资料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每月2次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导读推荐书目包括新书推荐书目、专题导读书目、图书馆外借排行榜等。提供佐证材料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县级图书馆网站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具有文献检索、阅读、咨询等功能的统一平台，并能直接使用县级图书馆相应数量数字资源，直接登录检查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县级公共阅读场所开放免费WIFI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在县级公共阅读服务设施内提供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视障读者服务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有盲文阅览室、有视障读者专用设备、有适合其阅读的服务，提供证明图片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少儿阅读兴趣培养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有少儿阅览设施、有增加少儿阅读兴趣、培养阅读习惯的服务项目和活动。提供文字及图片证明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外来务工人员服务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有就业信息、工地借阅服务。提供佐证图片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老龄读者阅读服务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交流、品鉴、计算机使用技能培训。提供佐证图片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阅读环境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新闻媒体设全民阅读专题节目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期/年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48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包括报纸、电视、电台。提供报道目录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网络媒体设全民阅读频道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政府网站有阅读平台的链接，直接上网检查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新闻媒体投放全民阅读公益广告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100%的新闻媒体投放全民阅读公益广告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新闻媒体主要指当地的报纸、电视台、电台和网络媒体。提供证明材料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18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kern w:val="0"/>
                <w:sz w:val="28"/>
                <w:szCs w:val="28"/>
              </w:rPr>
              <w:t>主要公共场所广告屏投放全民阅读公益广告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100%的广告屏每天投放全民阅读公益广告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主要公共场所指城市和乡镇车站、集贸市场、商场、广场等人流密集地点。提供佐证图片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阅读活动居民参与率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%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≥10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阅读环境居民满意率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%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≥85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提供调查报告（可以上一指标合并报告）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县域总分馆有效读者持证率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%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≥5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县域总分馆有效持证读者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常住人口，提供读者证统计数据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县域总分馆人均到馆次数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次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≥1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全市公共图书馆服务体系到馆总人次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常住人口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人均数字资源点击次数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次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≥1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县图书馆网站点击次数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常住人口，提供点击次数统计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社会阅读组织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≥40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每个组织每年活动不少于4次，提供活动图片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保障条件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28"/>
                <w:szCs w:val="28"/>
              </w:rPr>
              <w:t>全民阅读专门机构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县级文化主管部门设置、活动正常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提供文件和台账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全民阅读活动经费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纳入政府财政预算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提供拨款凭证扫描件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图书馆购书经费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满足新增文献要求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提供拨款凭证扫描件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公共图书馆专业人员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常住人口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1:10000——20000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提供县级图书馆总馆的编制批准文件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乡镇文化专职人员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人/乡镇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≥3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提供文件或其他证明材料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阅读推广志愿者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‰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</w:rPr>
              <w:t>≥3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阅读推广人是指以志愿者形式参与全民阅读工作的个人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绩效考核制度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有制度，执行良好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提供考核制度的文件扫描件及考核成果资料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引导和鼓励政策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有政策，执行良好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颁布鼓励、引导社会力量参与全民阅读的政策。提供政策的文件扫描件和执行证明资料</w:t>
            </w:r>
          </w:p>
        </w:tc>
      </w:tr>
    </w:tbl>
    <w:p>
      <w:pPr>
        <w:spacing w:line="360" w:lineRule="exact"/>
        <w:rPr>
          <w:rFonts w:ascii="仿宋_GB2312" w:eastAsia="仿宋_GB2312"/>
          <w:sz w:val="24"/>
        </w:rPr>
      </w:pPr>
    </w:p>
    <w:p/>
    <w:p>
      <w:pPr>
        <w:rPr>
          <w:rFonts w:hint="eastAsia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7697B62-E53F-4244-A513-61027CCA816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8316D2-CD40-48C3-B9A6-1792959FC4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60C72D1-3221-48E8-9D2E-8E373357874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56FF88B-CECD-41A7-B599-1FA3D51621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78CA231-C344-4B42-9F11-A27C4AECA73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C0FB1"/>
    <w:rsid w:val="457C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2022-04-18T01:34:00Z</dcterms:created>
  <dc:creator>双柳</dc:creator>
  <cp:lastModifiedBy>双柳</cp:lastModifiedBy>
  <dcterms:modified xsi:type="dcterms:W3CDTF">2022-04-18T01:35:57Z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96C09E16CE494B2383E5F86ECC6DF534</vt:lpwstr>
  </property>
</Properties>
</file>